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942B8" w14:textId="59148870" w:rsidR="00330AC4" w:rsidRPr="00B049DF" w:rsidRDefault="004C71C2" w:rsidP="00B049DF">
      <w:pPr>
        <w:jc w:val="both"/>
        <w:rPr>
          <w:rFonts w:ascii="Arial" w:hAnsi="Arial" w:cs="Arial"/>
          <w:b/>
          <w:sz w:val="22"/>
          <w:szCs w:val="22"/>
          <w:lang w:val="es-ES_tradnl"/>
        </w:rPr>
      </w:pPr>
      <w:r w:rsidRPr="00B049DF">
        <w:rPr>
          <w:rFonts w:ascii="Arial" w:hAnsi="Arial" w:cs="Arial"/>
          <w:b/>
          <w:sz w:val="22"/>
          <w:szCs w:val="22"/>
          <w:lang w:val="es-ES_tradnl"/>
        </w:rPr>
        <w:t xml:space="preserve"> </w:t>
      </w:r>
    </w:p>
    <w:p w14:paraId="04999123" w14:textId="14FABE82" w:rsidR="003211BE" w:rsidRPr="00B049DF" w:rsidRDefault="003211BE" w:rsidP="005A22F4">
      <w:pPr>
        <w:jc w:val="right"/>
        <w:rPr>
          <w:rFonts w:ascii="Arial" w:eastAsia="Arial" w:hAnsi="Arial" w:cs="Arial"/>
          <w:b/>
          <w:sz w:val="22"/>
          <w:szCs w:val="22"/>
          <w:lang w:val="es-ES_tradnl"/>
        </w:rPr>
      </w:pPr>
      <w:r w:rsidRPr="00B049DF">
        <w:rPr>
          <w:rFonts w:ascii="Arial" w:eastAsia="Arial" w:hAnsi="Arial" w:cs="Arial"/>
          <w:b/>
          <w:sz w:val="22"/>
          <w:szCs w:val="22"/>
          <w:lang w:val="es-ES_tradnl"/>
        </w:rPr>
        <w:t>OFICIO AMC-DA-</w:t>
      </w:r>
      <w:r w:rsidR="00F632EE" w:rsidRPr="00B049DF">
        <w:rPr>
          <w:rFonts w:ascii="Arial" w:eastAsia="Arial" w:hAnsi="Arial" w:cs="Arial"/>
          <w:b/>
          <w:color w:val="000000" w:themeColor="text1"/>
          <w:sz w:val="22"/>
          <w:szCs w:val="22"/>
          <w:lang w:val="es-ES_tradnl"/>
        </w:rPr>
        <w:t>xxx</w:t>
      </w:r>
      <w:r w:rsidRPr="00B049DF">
        <w:rPr>
          <w:rFonts w:ascii="Arial" w:eastAsia="Arial" w:hAnsi="Arial" w:cs="Arial"/>
          <w:b/>
          <w:sz w:val="22"/>
          <w:szCs w:val="22"/>
          <w:lang w:val="es-ES_tradnl"/>
        </w:rPr>
        <w:t>-202</w:t>
      </w:r>
      <w:r w:rsidR="00F632EE" w:rsidRPr="00B049DF">
        <w:rPr>
          <w:rFonts w:ascii="Arial" w:eastAsia="Arial" w:hAnsi="Arial" w:cs="Arial"/>
          <w:b/>
          <w:sz w:val="22"/>
          <w:szCs w:val="22"/>
          <w:lang w:val="es-ES_tradnl"/>
        </w:rPr>
        <w:t>6</w:t>
      </w:r>
    </w:p>
    <w:p w14:paraId="126195C1" w14:textId="077EB7CD" w:rsidR="003211BE" w:rsidRPr="00B049DF" w:rsidRDefault="003211BE" w:rsidP="005A22F4">
      <w:pPr>
        <w:jc w:val="right"/>
        <w:rPr>
          <w:rFonts w:ascii="Arial" w:eastAsia="Arial" w:hAnsi="Arial" w:cs="Arial"/>
          <w:b/>
          <w:sz w:val="22"/>
          <w:szCs w:val="22"/>
          <w:lang w:val="es-ES_tradnl"/>
        </w:rPr>
      </w:pPr>
      <w:r w:rsidRPr="00B049DF">
        <w:rPr>
          <w:rFonts w:ascii="Arial" w:eastAsia="Arial" w:hAnsi="Arial" w:cs="Arial"/>
          <w:b/>
          <w:sz w:val="22"/>
          <w:szCs w:val="22"/>
          <w:lang w:val="es-ES_tradnl"/>
        </w:rPr>
        <w:t xml:space="preserve">Cajicá, </w:t>
      </w:r>
      <w:r w:rsidR="00D66B79" w:rsidRPr="00B049DF">
        <w:rPr>
          <w:rFonts w:ascii="Arial" w:eastAsia="Arial" w:hAnsi="Arial" w:cs="Arial"/>
          <w:b/>
          <w:sz w:val="22"/>
          <w:szCs w:val="22"/>
          <w:lang w:val="es-ES_tradnl"/>
        </w:rPr>
        <w:t xml:space="preserve">XXXXXXXXX </w:t>
      </w:r>
      <w:r w:rsidRPr="00B049DF">
        <w:rPr>
          <w:rFonts w:ascii="Arial" w:eastAsia="Arial" w:hAnsi="Arial" w:cs="Arial"/>
          <w:b/>
          <w:sz w:val="22"/>
          <w:szCs w:val="22"/>
          <w:lang w:val="es-ES_tradnl"/>
        </w:rPr>
        <w:t>de 202</w:t>
      </w:r>
      <w:r w:rsidR="00F632EE" w:rsidRPr="00B049DF">
        <w:rPr>
          <w:rFonts w:ascii="Arial" w:eastAsia="Arial" w:hAnsi="Arial" w:cs="Arial"/>
          <w:b/>
          <w:sz w:val="22"/>
          <w:szCs w:val="22"/>
          <w:lang w:val="es-ES_tradnl"/>
        </w:rPr>
        <w:t>6</w:t>
      </w:r>
    </w:p>
    <w:p w14:paraId="64FAA466" w14:textId="77777777" w:rsidR="007838F2" w:rsidRPr="00B049DF" w:rsidRDefault="007838F2" w:rsidP="00B049DF">
      <w:pPr>
        <w:pStyle w:val="Sinespaciado"/>
        <w:jc w:val="both"/>
        <w:rPr>
          <w:rFonts w:ascii="Arial" w:hAnsi="Arial" w:cs="Arial"/>
          <w:sz w:val="22"/>
          <w:szCs w:val="22"/>
        </w:rPr>
      </w:pPr>
    </w:p>
    <w:p w14:paraId="68994780" w14:textId="77777777" w:rsidR="00F01CAB" w:rsidRPr="00B049DF" w:rsidRDefault="00F01CAB" w:rsidP="00B049DF">
      <w:pPr>
        <w:pStyle w:val="Sinespaciado"/>
        <w:jc w:val="both"/>
        <w:rPr>
          <w:rFonts w:ascii="Arial" w:hAnsi="Arial" w:cs="Arial"/>
          <w:sz w:val="22"/>
          <w:szCs w:val="22"/>
        </w:rPr>
      </w:pPr>
    </w:p>
    <w:p w14:paraId="6CCEA87E" w14:textId="01698480" w:rsidR="00536EC9" w:rsidRPr="00B049DF" w:rsidRDefault="00F632EE" w:rsidP="00B049DF">
      <w:pPr>
        <w:pStyle w:val="Sinespaciado"/>
        <w:jc w:val="both"/>
        <w:rPr>
          <w:rFonts w:ascii="Arial" w:hAnsi="Arial" w:cs="Arial"/>
          <w:sz w:val="22"/>
          <w:szCs w:val="22"/>
        </w:rPr>
      </w:pPr>
      <w:r w:rsidRPr="00B049DF">
        <w:rPr>
          <w:rFonts w:ascii="Arial" w:hAnsi="Arial" w:cs="Arial"/>
          <w:sz w:val="22"/>
          <w:szCs w:val="22"/>
        </w:rPr>
        <w:t>Señor</w:t>
      </w:r>
      <w:r w:rsidR="00B049DF">
        <w:rPr>
          <w:rFonts w:ascii="Arial" w:hAnsi="Arial" w:cs="Arial"/>
          <w:sz w:val="22"/>
          <w:szCs w:val="22"/>
        </w:rPr>
        <w:t>a</w:t>
      </w:r>
      <w:r w:rsidR="00C744ED" w:rsidRPr="00B049DF">
        <w:rPr>
          <w:rFonts w:ascii="Arial" w:hAnsi="Arial" w:cs="Arial"/>
          <w:sz w:val="22"/>
          <w:szCs w:val="22"/>
        </w:rPr>
        <w:t>:</w:t>
      </w:r>
    </w:p>
    <w:p w14:paraId="45843EBF" w14:textId="77777777" w:rsidR="00B049DF" w:rsidRPr="00B049DF" w:rsidRDefault="00B049DF" w:rsidP="00B049DF">
      <w:pPr>
        <w:jc w:val="both"/>
        <w:rPr>
          <w:rFonts w:ascii="Helvetica" w:eastAsia="Times New Roman" w:hAnsi="Helvetica" w:cs="Times New Roman"/>
          <w:b/>
          <w:bCs/>
          <w:color w:val="000000"/>
          <w:sz w:val="21"/>
          <w:szCs w:val="21"/>
          <w:lang w:eastAsia="es-MX"/>
        </w:rPr>
      </w:pPr>
      <w:r w:rsidRPr="00B049DF">
        <w:rPr>
          <w:rFonts w:ascii="Helvetica" w:eastAsia="Times New Roman" w:hAnsi="Helvetica" w:cs="Times New Roman"/>
          <w:b/>
          <w:bCs/>
          <w:color w:val="000000"/>
          <w:sz w:val="21"/>
          <w:szCs w:val="21"/>
          <w:lang w:eastAsia="es-MX"/>
        </w:rPr>
        <w:t>INGRID BIBIANA RAMÍREZ ORJUELA</w:t>
      </w:r>
    </w:p>
    <w:p w14:paraId="7C62633C" w14:textId="238893E8" w:rsidR="00F01CAB" w:rsidRPr="00B049DF" w:rsidRDefault="00B049DF" w:rsidP="00B049DF">
      <w:pPr>
        <w:pStyle w:val="Sinespaciado"/>
        <w:jc w:val="both"/>
        <w:rPr>
          <w:rFonts w:ascii="Arial" w:hAnsi="Arial" w:cs="Arial"/>
          <w:sz w:val="22"/>
          <w:szCs w:val="22"/>
        </w:rPr>
      </w:pPr>
      <w:r w:rsidRPr="00B049DF">
        <w:rPr>
          <w:rFonts w:ascii="Arial" w:eastAsia="Times New Roman" w:hAnsi="Arial" w:cs="Arial"/>
          <w:color w:val="000000"/>
          <w:sz w:val="22"/>
          <w:szCs w:val="22"/>
          <w:lang w:eastAsia="es-MX"/>
        </w:rPr>
        <w:t>ingrid.ramirez.0568@gmail.com</w:t>
      </w:r>
    </w:p>
    <w:p w14:paraId="4FE79D96" w14:textId="77777777" w:rsidR="003211BE" w:rsidRPr="00B049DF" w:rsidRDefault="003211BE" w:rsidP="00B049DF">
      <w:pPr>
        <w:pStyle w:val="Sinespaciado"/>
        <w:jc w:val="both"/>
        <w:rPr>
          <w:rFonts w:ascii="Arial" w:hAnsi="Arial" w:cs="Arial"/>
          <w:sz w:val="22"/>
          <w:szCs w:val="22"/>
        </w:rPr>
      </w:pPr>
    </w:p>
    <w:p w14:paraId="2F3FA331" w14:textId="56E56581" w:rsidR="00364CC8" w:rsidRPr="00B049DF" w:rsidRDefault="0092288E" w:rsidP="00B049DF">
      <w:pPr>
        <w:pStyle w:val="Sinespaciado"/>
        <w:jc w:val="both"/>
        <w:rPr>
          <w:rFonts w:ascii="Arial" w:hAnsi="Arial" w:cs="Arial"/>
          <w:sz w:val="22"/>
          <w:szCs w:val="22"/>
        </w:rPr>
      </w:pPr>
      <w:r w:rsidRPr="00B049DF">
        <w:rPr>
          <w:rFonts w:ascii="Arial" w:hAnsi="Arial" w:cs="Arial"/>
          <w:b/>
          <w:bCs/>
          <w:sz w:val="22"/>
          <w:szCs w:val="22"/>
        </w:rPr>
        <w:t>Asunto</w:t>
      </w:r>
      <w:r w:rsidRPr="00B049DF">
        <w:rPr>
          <w:rFonts w:ascii="Arial" w:hAnsi="Arial" w:cs="Arial"/>
          <w:sz w:val="22"/>
          <w:szCs w:val="22"/>
        </w:rPr>
        <w:t>:</w:t>
      </w:r>
      <w:r w:rsidR="00364CC8" w:rsidRPr="00B049DF">
        <w:rPr>
          <w:rFonts w:ascii="Arial" w:hAnsi="Arial" w:cs="Arial"/>
          <w:sz w:val="22"/>
          <w:szCs w:val="22"/>
        </w:rPr>
        <w:t xml:space="preserve"> </w:t>
      </w:r>
      <w:r w:rsidR="00B049DF" w:rsidRPr="00B049DF">
        <w:rPr>
          <w:rFonts w:ascii="Arial" w:hAnsi="Arial" w:cs="Arial"/>
          <w:sz w:val="22"/>
          <w:szCs w:val="22"/>
        </w:rPr>
        <w:t>Respuesta de fondo al derecho de petición sobre retiro de credencial de Juez de Paz</w:t>
      </w:r>
      <w:r w:rsidR="00364CC8" w:rsidRPr="00B049DF">
        <w:rPr>
          <w:rFonts w:ascii="Arial" w:hAnsi="Arial" w:cs="Arial"/>
          <w:sz w:val="22"/>
          <w:szCs w:val="22"/>
        </w:rPr>
        <w:t>.</w:t>
      </w:r>
    </w:p>
    <w:p w14:paraId="37645323" w14:textId="77777777" w:rsidR="00364CC8" w:rsidRPr="00B049DF" w:rsidRDefault="00364CC8" w:rsidP="00B049DF">
      <w:pPr>
        <w:pStyle w:val="Sinespaciado"/>
        <w:jc w:val="both"/>
        <w:rPr>
          <w:rFonts w:ascii="Arial" w:hAnsi="Arial" w:cs="Arial"/>
          <w:sz w:val="22"/>
          <w:szCs w:val="22"/>
        </w:rPr>
      </w:pPr>
    </w:p>
    <w:p w14:paraId="57964DFF" w14:textId="77777777" w:rsidR="00364CC8" w:rsidRPr="00B049DF" w:rsidRDefault="00364CC8" w:rsidP="00B049DF">
      <w:pPr>
        <w:pStyle w:val="Sinespaciado"/>
        <w:jc w:val="both"/>
        <w:rPr>
          <w:rFonts w:ascii="Arial" w:hAnsi="Arial" w:cs="Arial"/>
          <w:sz w:val="22"/>
          <w:szCs w:val="22"/>
        </w:rPr>
      </w:pPr>
    </w:p>
    <w:p w14:paraId="1ED6325E" w14:textId="637436BA" w:rsidR="00364CC8" w:rsidRPr="00B049DF" w:rsidRDefault="00364CC8" w:rsidP="00B049DF">
      <w:pPr>
        <w:pStyle w:val="Sinespaciado"/>
        <w:jc w:val="both"/>
        <w:rPr>
          <w:rFonts w:ascii="Arial" w:hAnsi="Arial" w:cs="Arial"/>
          <w:sz w:val="22"/>
          <w:szCs w:val="22"/>
        </w:rPr>
      </w:pPr>
      <w:r w:rsidRPr="00B049DF">
        <w:rPr>
          <w:rFonts w:ascii="Arial" w:hAnsi="Arial" w:cs="Arial"/>
          <w:sz w:val="22"/>
          <w:szCs w:val="22"/>
        </w:rPr>
        <w:t>Respetad</w:t>
      </w:r>
      <w:r w:rsidR="00B049DF">
        <w:rPr>
          <w:rFonts w:ascii="Arial" w:hAnsi="Arial" w:cs="Arial"/>
          <w:sz w:val="22"/>
          <w:szCs w:val="22"/>
        </w:rPr>
        <w:t>a</w:t>
      </w:r>
      <w:r w:rsidRPr="00B049DF">
        <w:rPr>
          <w:rFonts w:ascii="Arial" w:hAnsi="Arial" w:cs="Arial"/>
          <w:sz w:val="22"/>
          <w:szCs w:val="22"/>
        </w:rPr>
        <w:t xml:space="preserve"> </w:t>
      </w:r>
      <w:r w:rsidR="00B049DF">
        <w:rPr>
          <w:rFonts w:ascii="Arial" w:hAnsi="Arial" w:cs="Arial"/>
          <w:sz w:val="22"/>
          <w:szCs w:val="22"/>
        </w:rPr>
        <w:t>Doctora</w:t>
      </w:r>
      <w:r w:rsidRPr="00B049DF">
        <w:rPr>
          <w:rFonts w:ascii="Arial" w:hAnsi="Arial" w:cs="Arial"/>
          <w:sz w:val="22"/>
          <w:szCs w:val="22"/>
        </w:rPr>
        <w:t>:</w:t>
      </w:r>
    </w:p>
    <w:p w14:paraId="1A571306" w14:textId="77777777" w:rsidR="00364CC8" w:rsidRPr="00B049DF" w:rsidRDefault="00364CC8" w:rsidP="00B049DF">
      <w:pPr>
        <w:pStyle w:val="Sinespaciado"/>
        <w:jc w:val="both"/>
        <w:rPr>
          <w:rFonts w:ascii="Arial" w:hAnsi="Arial" w:cs="Arial"/>
          <w:sz w:val="22"/>
          <w:szCs w:val="22"/>
        </w:rPr>
      </w:pPr>
    </w:p>
    <w:p w14:paraId="752F25AB" w14:textId="296A09EF" w:rsidR="00B049DF" w:rsidRDefault="00B049DF" w:rsidP="00B049DF">
      <w:pPr>
        <w:jc w:val="both"/>
        <w:rPr>
          <w:rFonts w:ascii="Arial" w:hAnsi="Arial" w:cs="Arial"/>
          <w:sz w:val="22"/>
          <w:szCs w:val="22"/>
        </w:rPr>
      </w:pPr>
      <w:r>
        <w:rPr>
          <w:rFonts w:ascii="Arial" w:hAnsi="Arial" w:cs="Arial"/>
          <w:sz w:val="22"/>
          <w:szCs w:val="22"/>
        </w:rPr>
        <w:t xml:space="preserve">Teniendo en cuenta su solicitud me permito dar </w:t>
      </w:r>
      <w:r w:rsidRPr="00B049DF">
        <w:rPr>
          <w:rFonts w:ascii="Arial" w:hAnsi="Arial" w:cs="Arial"/>
          <w:sz w:val="22"/>
          <w:szCs w:val="22"/>
        </w:rPr>
        <w:t xml:space="preserve">respuesta de fondo </w:t>
      </w:r>
      <w:r>
        <w:rPr>
          <w:rFonts w:ascii="Arial" w:hAnsi="Arial" w:cs="Arial"/>
          <w:sz w:val="22"/>
          <w:szCs w:val="22"/>
        </w:rPr>
        <w:t>en los siguientes términos:</w:t>
      </w:r>
    </w:p>
    <w:p w14:paraId="1F0700EC" w14:textId="77777777" w:rsidR="00B049DF" w:rsidRDefault="00B049DF" w:rsidP="00B049DF">
      <w:pPr>
        <w:jc w:val="both"/>
        <w:rPr>
          <w:rFonts w:ascii="Arial" w:hAnsi="Arial" w:cs="Arial"/>
          <w:sz w:val="22"/>
          <w:szCs w:val="22"/>
        </w:rPr>
      </w:pPr>
    </w:p>
    <w:p w14:paraId="30A6A755" w14:textId="7CBF6EBC" w:rsidR="00B049DF" w:rsidRPr="00B049DF" w:rsidRDefault="00B049DF" w:rsidP="00B049DF">
      <w:pPr>
        <w:jc w:val="both"/>
        <w:rPr>
          <w:rFonts w:ascii="Arial" w:hAnsi="Arial" w:cs="Arial"/>
          <w:sz w:val="22"/>
          <w:szCs w:val="22"/>
        </w:rPr>
      </w:pPr>
      <w:r>
        <w:rPr>
          <w:rFonts w:ascii="Arial" w:hAnsi="Arial" w:cs="Arial"/>
          <w:sz w:val="22"/>
          <w:szCs w:val="22"/>
        </w:rPr>
        <w:t xml:space="preserve">En primera instancia es preciso </w:t>
      </w:r>
      <w:r w:rsidR="007234DB">
        <w:rPr>
          <w:rFonts w:ascii="Arial" w:hAnsi="Arial" w:cs="Arial"/>
          <w:sz w:val="22"/>
          <w:szCs w:val="22"/>
        </w:rPr>
        <w:t>indicar</w:t>
      </w:r>
      <w:r w:rsidRPr="00B049DF">
        <w:rPr>
          <w:rFonts w:ascii="Arial" w:hAnsi="Arial" w:cs="Arial"/>
          <w:sz w:val="22"/>
          <w:szCs w:val="22"/>
        </w:rPr>
        <w:t xml:space="preserve"> que el principio de legalidad impide a las autoridades administrativas asumir competencias reservadas por la Constitución o por la ley a órganos jurisdiccionales o electorales. La autonomía de la Jurisdicción de Paz garantiza la independencia en la resolución de conflictos y preserva la separación de funciones entre las ramas y órganos del poder público. </w:t>
      </w:r>
    </w:p>
    <w:p w14:paraId="6B91DA9B" w14:textId="77777777" w:rsidR="009549E2" w:rsidRDefault="009549E2" w:rsidP="00B049DF">
      <w:pPr>
        <w:jc w:val="both"/>
        <w:rPr>
          <w:rFonts w:ascii="Arial" w:hAnsi="Arial" w:cs="Arial"/>
          <w:sz w:val="22"/>
          <w:szCs w:val="22"/>
          <w:lang w:val="es-ES_tradnl"/>
        </w:rPr>
      </w:pPr>
    </w:p>
    <w:p w14:paraId="16E4929A" w14:textId="7CB5F6F0" w:rsid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El Estado colombiano se encuentra estructurado sobre el principio de legalidad</w:t>
      </w:r>
      <w:r>
        <w:rPr>
          <w:rFonts w:ascii="Arial" w:hAnsi="Arial" w:cs="Arial"/>
          <w:sz w:val="22"/>
          <w:szCs w:val="22"/>
          <w:lang w:val="es-ES_tradnl"/>
        </w:rPr>
        <w:t>, l</w:t>
      </w:r>
      <w:r w:rsidRPr="007234DB">
        <w:rPr>
          <w:rFonts w:ascii="Arial" w:hAnsi="Arial" w:cs="Arial"/>
          <w:sz w:val="22"/>
          <w:szCs w:val="22"/>
          <w:lang w:val="es-ES_tradnl"/>
        </w:rPr>
        <w:t>os artículos 6, 121 y 122 de la Constitución Política establecen que los servidores públicos únicamente pueden ejercer las funciones expresamente atribuidas por la Constitución y la ley</w:t>
      </w:r>
      <w:r>
        <w:rPr>
          <w:rFonts w:ascii="Arial" w:hAnsi="Arial" w:cs="Arial"/>
          <w:sz w:val="22"/>
          <w:szCs w:val="22"/>
          <w:lang w:val="es-ES_tradnl"/>
        </w:rPr>
        <w:t>, e</w:t>
      </w:r>
      <w:r w:rsidRPr="007234DB">
        <w:rPr>
          <w:rFonts w:ascii="Arial" w:hAnsi="Arial" w:cs="Arial"/>
          <w:sz w:val="22"/>
          <w:szCs w:val="22"/>
          <w:lang w:val="es-ES_tradnl"/>
        </w:rPr>
        <w:t>llo significa que ninguna autoridad administrativa puede asumir competencias por analogía, conveniencia, interpretación extensiva o por solicitud de un particular</w:t>
      </w:r>
      <w:r>
        <w:rPr>
          <w:rFonts w:ascii="Arial" w:hAnsi="Arial" w:cs="Arial"/>
          <w:sz w:val="22"/>
          <w:szCs w:val="22"/>
          <w:lang w:val="es-ES_tradnl"/>
        </w:rPr>
        <w:t>, razón por la cual l</w:t>
      </w:r>
      <w:r w:rsidRPr="007234DB">
        <w:rPr>
          <w:rFonts w:ascii="Arial" w:hAnsi="Arial" w:cs="Arial"/>
          <w:sz w:val="22"/>
          <w:szCs w:val="22"/>
          <w:lang w:val="es-ES_tradnl"/>
        </w:rPr>
        <w:t>a competencia constituye un presupuesto esencial de validez de toda actuación administrativa.</w:t>
      </w:r>
    </w:p>
    <w:p w14:paraId="0B98B440" w14:textId="77777777" w:rsidR="007234DB" w:rsidRPr="007234DB" w:rsidRDefault="007234DB" w:rsidP="007234DB">
      <w:pPr>
        <w:jc w:val="both"/>
        <w:rPr>
          <w:rFonts w:ascii="Arial" w:hAnsi="Arial" w:cs="Arial"/>
          <w:sz w:val="22"/>
          <w:szCs w:val="22"/>
          <w:lang w:val="es-ES_tradnl"/>
        </w:rPr>
      </w:pPr>
    </w:p>
    <w:p w14:paraId="6FF4F63D" w14:textId="6972B4D2" w:rsid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Cuando una autoridad actúa sin competencia, sus decisiones carecen de sustento constitucional y legal y pueden ser anuladas por la jurisdicción de lo contencioso administrativo</w:t>
      </w:r>
      <w:r>
        <w:rPr>
          <w:rFonts w:ascii="Arial" w:hAnsi="Arial" w:cs="Arial"/>
          <w:sz w:val="22"/>
          <w:szCs w:val="22"/>
          <w:lang w:val="es-ES_tradnl"/>
        </w:rPr>
        <w:t>, p</w:t>
      </w:r>
      <w:r w:rsidRPr="007234DB">
        <w:rPr>
          <w:rFonts w:ascii="Arial" w:hAnsi="Arial" w:cs="Arial"/>
          <w:sz w:val="22"/>
          <w:szCs w:val="22"/>
          <w:lang w:val="es-ES_tradnl"/>
        </w:rPr>
        <w:t xml:space="preserve">or consiguiente, </w:t>
      </w:r>
      <w:r>
        <w:rPr>
          <w:rFonts w:ascii="Arial" w:hAnsi="Arial" w:cs="Arial"/>
          <w:sz w:val="22"/>
          <w:szCs w:val="22"/>
          <w:lang w:val="es-ES_tradnl"/>
        </w:rPr>
        <w:t>debe verificarse</w:t>
      </w:r>
      <w:r w:rsidRPr="007234DB">
        <w:rPr>
          <w:rFonts w:ascii="Arial" w:hAnsi="Arial" w:cs="Arial"/>
          <w:sz w:val="22"/>
          <w:szCs w:val="22"/>
          <w:lang w:val="es-ES_tradnl"/>
        </w:rPr>
        <w:t xml:space="preserve"> si el ordenamiento jurídico atribuye a la Alcaldesa Municipal las facultades cuya ejecución pretende la peticionaria.</w:t>
      </w:r>
    </w:p>
    <w:p w14:paraId="56CEC4B1" w14:textId="77777777" w:rsidR="007234DB" w:rsidRPr="007234DB" w:rsidRDefault="007234DB" w:rsidP="007234DB">
      <w:pPr>
        <w:jc w:val="both"/>
        <w:rPr>
          <w:rFonts w:ascii="Arial" w:hAnsi="Arial" w:cs="Arial"/>
          <w:sz w:val="22"/>
          <w:szCs w:val="22"/>
          <w:lang w:val="es-ES_tradnl"/>
        </w:rPr>
      </w:pPr>
    </w:p>
    <w:p w14:paraId="6B7EDAC8" w14:textId="4412BB69" w:rsidR="007234DB" w:rsidRP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El artículo 247 de la Constitución Política creó la Jurisdicción de Paz como un mecanismo especial de administración de justicia</w:t>
      </w:r>
      <w:r>
        <w:rPr>
          <w:rFonts w:ascii="Arial" w:hAnsi="Arial" w:cs="Arial"/>
          <w:sz w:val="22"/>
          <w:szCs w:val="22"/>
          <w:lang w:val="es-ES_tradnl"/>
        </w:rPr>
        <w:t>, e</w:t>
      </w:r>
      <w:r w:rsidRPr="007234DB">
        <w:rPr>
          <w:rFonts w:ascii="Arial" w:hAnsi="Arial" w:cs="Arial"/>
          <w:sz w:val="22"/>
          <w:szCs w:val="22"/>
          <w:lang w:val="es-ES_tradnl"/>
        </w:rPr>
        <w:t>n desarrollo de dicho mandato constitucional fue expedida la Ley 497 de 1999</w:t>
      </w:r>
      <w:r>
        <w:rPr>
          <w:rFonts w:ascii="Arial" w:hAnsi="Arial" w:cs="Arial"/>
          <w:sz w:val="22"/>
          <w:szCs w:val="22"/>
          <w:lang w:val="es-ES_tradnl"/>
        </w:rPr>
        <w:t>, e</w:t>
      </w:r>
      <w:r w:rsidRPr="007234DB">
        <w:rPr>
          <w:rFonts w:ascii="Arial" w:hAnsi="Arial" w:cs="Arial"/>
          <w:sz w:val="22"/>
          <w:szCs w:val="22"/>
          <w:lang w:val="es-ES_tradnl"/>
        </w:rPr>
        <w:t>sta ley reconoce a los Jueces de Paz como autoridades que ejercen función jurisdiccional</w:t>
      </w:r>
      <w:r>
        <w:rPr>
          <w:rFonts w:ascii="Arial" w:hAnsi="Arial" w:cs="Arial"/>
          <w:sz w:val="22"/>
          <w:szCs w:val="22"/>
          <w:lang w:val="es-ES_tradnl"/>
        </w:rPr>
        <w:t>, sin embargo es claro que no los convierte en</w:t>
      </w:r>
      <w:r w:rsidRPr="007234DB">
        <w:rPr>
          <w:rFonts w:ascii="Arial" w:hAnsi="Arial" w:cs="Arial"/>
          <w:sz w:val="22"/>
          <w:szCs w:val="22"/>
          <w:lang w:val="es-ES_tradnl"/>
        </w:rPr>
        <w:t xml:space="preserve"> empleados públicos del municipio</w:t>
      </w:r>
      <w:r>
        <w:rPr>
          <w:rFonts w:ascii="Arial" w:hAnsi="Arial" w:cs="Arial"/>
          <w:sz w:val="22"/>
          <w:szCs w:val="22"/>
          <w:lang w:val="es-ES_tradnl"/>
        </w:rPr>
        <w:t>, y por lo tanto no</w:t>
      </w:r>
      <w:r w:rsidRPr="007234DB">
        <w:rPr>
          <w:rFonts w:ascii="Arial" w:hAnsi="Arial" w:cs="Arial"/>
          <w:sz w:val="22"/>
          <w:szCs w:val="22"/>
          <w:lang w:val="es-ES_tradnl"/>
        </w:rPr>
        <w:t xml:space="preserve"> hacen parte de la planta de personal de la Alcaldía</w:t>
      </w:r>
      <w:r>
        <w:rPr>
          <w:rFonts w:ascii="Arial" w:hAnsi="Arial" w:cs="Arial"/>
          <w:sz w:val="22"/>
          <w:szCs w:val="22"/>
          <w:lang w:val="es-ES_tradnl"/>
        </w:rPr>
        <w:t>, ni</w:t>
      </w:r>
      <w:r w:rsidRPr="007234DB">
        <w:rPr>
          <w:rFonts w:ascii="Arial" w:hAnsi="Arial" w:cs="Arial"/>
          <w:sz w:val="22"/>
          <w:szCs w:val="22"/>
          <w:lang w:val="es-ES_tradnl"/>
        </w:rPr>
        <w:t xml:space="preserve"> existe vínculo jerárquico entre ellos y el Alcalde.</w:t>
      </w:r>
    </w:p>
    <w:p w14:paraId="7CA7BE09" w14:textId="77777777" w:rsidR="007234DB" w:rsidRDefault="007234DB" w:rsidP="007234DB">
      <w:pPr>
        <w:jc w:val="both"/>
        <w:rPr>
          <w:rFonts w:ascii="Arial" w:hAnsi="Arial" w:cs="Arial"/>
          <w:sz w:val="22"/>
          <w:szCs w:val="22"/>
          <w:lang w:val="es-ES_tradnl"/>
        </w:rPr>
      </w:pPr>
    </w:p>
    <w:p w14:paraId="3CD7182A" w14:textId="78FAE792" w:rsid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La Corte Constitucional, en las Sentencias C-536 de 1995 y C-103 de 2004, precisó que la Justicia de Paz constituye una verdadera modalidad de administración de justicia prevista por la Constitución, cuyo ejercicio se encuentra amparado por los principios de independencia y autonomía judicial</w:t>
      </w:r>
      <w:r>
        <w:rPr>
          <w:rFonts w:ascii="Arial" w:hAnsi="Arial" w:cs="Arial"/>
          <w:sz w:val="22"/>
          <w:szCs w:val="22"/>
          <w:lang w:val="es-ES_tradnl"/>
        </w:rPr>
        <w:t>, e</w:t>
      </w:r>
      <w:r w:rsidRPr="007234DB">
        <w:rPr>
          <w:rFonts w:ascii="Arial" w:hAnsi="Arial" w:cs="Arial"/>
          <w:sz w:val="22"/>
          <w:szCs w:val="22"/>
          <w:lang w:val="es-ES_tradnl"/>
        </w:rPr>
        <w:t>n consecuencia, ninguna autoridad administrativa puede intervenir en las decisiones relativas al ejercicio de dicha función, salvo habilitación legal expresa.</w:t>
      </w:r>
    </w:p>
    <w:p w14:paraId="3991B6DE" w14:textId="77777777" w:rsidR="007234DB" w:rsidRPr="007234DB" w:rsidRDefault="007234DB" w:rsidP="007234DB">
      <w:pPr>
        <w:jc w:val="both"/>
        <w:rPr>
          <w:rFonts w:ascii="Arial" w:hAnsi="Arial" w:cs="Arial"/>
          <w:sz w:val="22"/>
          <w:szCs w:val="22"/>
          <w:lang w:val="es-ES_tradnl"/>
        </w:rPr>
      </w:pPr>
    </w:p>
    <w:p w14:paraId="3359D4CD" w14:textId="4DD05917" w:rsidR="007234DB" w:rsidRP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La Ley 497 de 1999 establece que los Jueces de Paz son elegidos mediante voto popular</w:t>
      </w:r>
      <w:r>
        <w:rPr>
          <w:rFonts w:ascii="Arial" w:hAnsi="Arial" w:cs="Arial"/>
          <w:sz w:val="22"/>
          <w:szCs w:val="22"/>
          <w:lang w:val="es-ES_tradnl"/>
        </w:rPr>
        <w:t>, e</w:t>
      </w:r>
      <w:r w:rsidRPr="007234DB">
        <w:rPr>
          <w:rFonts w:ascii="Arial" w:hAnsi="Arial" w:cs="Arial"/>
          <w:sz w:val="22"/>
          <w:szCs w:val="22"/>
          <w:lang w:val="es-ES_tradnl"/>
        </w:rPr>
        <w:t>sta circunstancia tiene una consecuencia jurídica trascendental</w:t>
      </w:r>
      <w:r>
        <w:rPr>
          <w:rFonts w:ascii="Arial" w:hAnsi="Arial" w:cs="Arial"/>
          <w:sz w:val="22"/>
          <w:szCs w:val="22"/>
          <w:lang w:val="es-ES_tradnl"/>
        </w:rPr>
        <w:t>, l</w:t>
      </w:r>
      <w:r w:rsidRPr="007234DB">
        <w:rPr>
          <w:rFonts w:ascii="Arial" w:hAnsi="Arial" w:cs="Arial"/>
          <w:sz w:val="22"/>
          <w:szCs w:val="22"/>
          <w:lang w:val="es-ES_tradnl"/>
        </w:rPr>
        <w:t>a Alcaldesa Municipal</w:t>
      </w:r>
      <w:r>
        <w:rPr>
          <w:rFonts w:ascii="Arial" w:hAnsi="Arial" w:cs="Arial"/>
          <w:sz w:val="22"/>
          <w:szCs w:val="22"/>
          <w:lang w:val="es-ES_tradnl"/>
        </w:rPr>
        <w:t xml:space="preserve"> </w:t>
      </w:r>
      <w:r w:rsidRPr="007234DB">
        <w:rPr>
          <w:rFonts w:ascii="Arial" w:hAnsi="Arial" w:cs="Arial"/>
          <w:sz w:val="22"/>
          <w:szCs w:val="22"/>
          <w:lang w:val="es-ES_tradnl"/>
        </w:rPr>
        <w:t>no los designa;</w:t>
      </w:r>
      <w:r>
        <w:rPr>
          <w:rFonts w:ascii="Arial" w:hAnsi="Arial" w:cs="Arial"/>
          <w:sz w:val="22"/>
          <w:szCs w:val="22"/>
          <w:lang w:val="es-ES_tradnl"/>
        </w:rPr>
        <w:t xml:space="preserve"> </w:t>
      </w:r>
      <w:r w:rsidRPr="007234DB">
        <w:rPr>
          <w:rFonts w:ascii="Arial" w:hAnsi="Arial" w:cs="Arial"/>
          <w:sz w:val="22"/>
          <w:szCs w:val="22"/>
          <w:lang w:val="es-ES_tradnl"/>
        </w:rPr>
        <w:t>no los nombra;</w:t>
      </w:r>
      <w:r>
        <w:rPr>
          <w:rFonts w:ascii="Arial" w:hAnsi="Arial" w:cs="Arial"/>
          <w:sz w:val="22"/>
          <w:szCs w:val="22"/>
          <w:lang w:val="es-ES_tradnl"/>
        </w:rPr>
        <w:t xml:space="preserve"> </w:t>
      </w:r>
      <w:r w:rsidRPr="007234DB">
        <w:rPr>
          <w:rFonts w:ascii="Arial" w:hAnsi="Arial" w:cs="Arial"/>
          <w:sz w:val="22"/>
          <w:szCs w:val="22"/>
          <w:lang w:val="es-ES_tradnl"/>
        </w:rPr>
        <w:t>no expide su credencial;</w:t>
      </w:r>
      <w:r>
        <w:rPr>
          <w:rFonts w:ascii="Arial" w:hAnsi="Arial" w:cs="Arial"/>
          <w:sz w:val="22"/>
          <w:szCs w:val="22"/>
          <w:lang w:val="es-ES_tradnl"/>
        </w:rPr>
        <w:t xml:space="preserve"> </w:t>
      </w:r>
      <w:r w:rsidRPr="007234DB">
        <w:rPr>
          <w:rFonts w:ascii="Arial" w:hAnsi="Arial" w:cs="Arial"/>
          <w:sz w:val="22"/>
          <w:szCs w:val="22"/>
          <w:lang w:val="es-ES_tradnl"/>
        </w:rPr>
        <w:t>no les confiere investidura;</w:t>
      </w:r>
      <w:r>
        <w:rPr>
          <w:rFonts w:ascii="Arial" w:hAnsi="Arial" w:cs="Arial"/>
          <w:sz w:val="22"/>
          <w:szCs w:val="22"/>
          <w:lang w:val="es-ES_tradnl"/>
        </w:rPr>
        <w:t xml:space="preserve"> </w:t>
      </w:r>
      <w:r w:rsidRPr="007234DB">
        <w:rPr>
          <w:rFonts w:ascii="Arial" w:hAnsi="Arial" w:cs="Arial"/>
          <w:sz w:val="22"/>
          <w:szCs w:val="22"/>
          <w:lang w:val="es-ES_tradnl"/>
        </w:rPr>
        <w:t>no ejerce potestad nominadora;</w:t>
      </w:r>
      <w:r>
        <w:rPr>
          <w:rFonts w:ascii="Arial" w:hAnsi="Arial" w:cs="Arial"/>
          <w:sz w:val="22"/>
          <w:szCs w:val="22"/>
          <w:lang w:val="es-ES_tradnl"/>
        </w:rPr>
        <w:t xml:space="preserve"> </w:t>
      </w:r>
      <w:r w:rsidRPr="007234DB">
        <w:rPr>
          <w:rFonts w:ascii="Arial" w:hAnsi="Arial" w:cs="Arial"/>
          <w:sz w:val="22"/>
          <w:szCs w:val="22"/>
          <w:lang w:val="es-ES_tradnl"/>
        </w:rPr>
        <w:t>no posee facultad de retiro del cargo.</w:t>
      </w:r>
    </w:p>
    <w:p w14:paraId="2BF4B3F3" w14:textId="77777777" w:rsidR="007234DB" w:rsidRDefault="007234DB" w:rsidP="007234DB">
      <w:pPr>
        <w:jc w:val="both"/>
        <w:rPr>
          <w:rFonts w:ascii="Arial" w:hAnsi="Arial" w:cs="Arial"/>
          <w:sz w:val="22"/>
          <w:szCs w:val="22"/>
          <w:lang w:val="es-ES_tradnl"/>
        </w:rPr>
      </w:pPr>
    </w:p>
    <w:p w14:paraId="40AFCC38" w14:textId="408BADBD" w:rsid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lastRenderedPageBreak/>
        <w:t>Quien no participa jurídicamente en el acto de elección tampoco puede dejarlo sin efectos</w:t>
      </w:r>
      <w:r>
        <w:rPr>
          <w:rFonts w:ascii="Arial" w:hAnsi="Arial" w:cs="Arial"/>
          <w:sz w:val="22"/>
          <w:szCs w:val="22"/>
          <w:lang w:val="es-ES_tradnl"/>
        </w:rPr>
        <w:t>, p</w:t>
      </w:r>
      <w:r w:rsidRPr="007234DB">
        <w:rPr>
          <w:rFonts w:ascii="Arial" w:hAnsi="Arial" w:cs="Arial"/>
          <w:sz w:val="22"/>
          <w:szCs w:val="22"/>
          <w:lang w:val="es-ES_tradnl"/>
        </w:rPr>
        <w:t>or ello, la solicitud consistente en retirar la credencial carece de sustento legal respecto de esta Administración.</w:t>
      </w:r>
    </w:p>
    <w:p w14:paraId="72ADCBF1" w14:textId="77777777" w:rsidR="007234DB" w:rsidRPr="007234DB" w:rsidRDefault="007234DB" w:rsidP="007234DB">
      <w:pPr>
        <w:jc w:val="both"/>
        <w:rPr>
          <w:rFonts w:ascii="Arial" w:hAnsi="Arial" w:cs="Arial"/>
          <w:sz w:val="22"/>
          <w:szCs w:val="22"/>
          <w:lang w:val="es-ES_tradnl"/>
        </w:rPr>
      </w:pPr>
    </w:p>
    <w:p w14:paraId="7D21937C" w14:textId="2A312F5C" w:rsidR="007234DB" w:rsidRP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La peticionaria solicita expresamente que la Alcaldesa retire la credencial del Juez de Paz</w:t>
      </w:r>
      <w:r w:rsidR="009333A3">
        <w:rPr>
          <w:rFonts w:ascii="Arial" w:hAnsi="Arial" w:cs="Arial"/>
          <w:sz w:val="22"/>
          <w:szCs w:val="22"/>
          <w:lang w:val="es-ES_tradnl"/>
        </w:rPr>
        <w:t xml:space="preserve">, </w:t>
      </w:r>
      <w:r w:rsidRPr="007234DB">
        <w:rPr>
          <w:rFonts w:ascii="Arial" w:hAnsi="Arial" w:cs="Arial"/>
          <w:sz w:val="22"/>
          <w:szCs w:val="22"/>
          <w:lang w:val="es-ES_tradnl"/>
        </w:rPr>
        <w:t>Sin embargo, revisado el ordenamiento jurídico aplicable, no existe disposición constitucional o legal que atribuya dicha competencia al Alcalde Municipal.</w:t>
      </w:r>
    </w:p>
    <w:p w14:paraId="680228A0" w14:textId="77777777" w:rsidR="009333A3" w:rsidRDefault="009333A3" w:rsidP="007234DB">
      <w:pPr>
        <w:jc w:val="both"/>
        <w:rPr>
          <w:rFonts w:ascii="Arial" w:hAnsi="Arial" w:cs="Arial"/>
          <w:sz w:val="22"/>
          <w:szCs w:val="22"/>
          <w:lang w:val="es-ES_tradnl"/>
        </w:rPr>
      </w:pPr>
    </w:p>
    <w:p w14:paraId="500CA201" w14:textId="0246219F" w:rsid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En consecuencia, la Alcaldesa carece absolutamente de competencia para cancelar, retirar o dejar sin efectos la credencial de un Juez de Paz</w:t>
      </w:r>
      <w:r w:rsidR="009333A3">
        <w:rPr>
          <w:rFonts w:ascii="Arial" w:hAnsi="Arial" w:cs="Arial"/>
          <w:sz w:val="22"/>
          <w:szCs w:val="22"/>
          <w:lang w:val="es-ES_tradnl"/>
        </w:rPr>
        <w:t xml:space="preserve"> o </w:t>
      </w:r>
      <w:r w:rsidRPr="007234DB">
        <w:rPr>
          <w:rFonts w:ascii="Arial" w:hAnsi="Arial" w:cs="Arial"/>
          <w:sz w:val="22"/>
          <w:szCs w:val="22"/>
          <w:lang w:val="es-ES_tradnl"/>
        </w:rPr>
        <w:t>dispon</w:t>
      </w:r>
      <w:r w:rsidR="009333A3">
        <w:rPr>
          <w:rFonts w:ascii="Arial" w:hAnsi="Arial" w:cs="Arial"/>
          <w:sz w:val="22"/>
          <w:szCs w:val="22"/>
          <w:lang w:val="es-ES_tradnl"/>
        </w:rPr>
        <w:t>er</w:t>
      </w:r>
      <w:r w:rsidRPr="007234DB">
        <w:rPr>
          <w:rFonts w:ascii="Arial" w:hAnsi="Arial" w:cs="Arial"/>
          <w:sz w:val="22"/>
          <w:szCs w:val="22"/>
          <w:lang w:val="es-ES_tradnl"/>
        </w:rPr>
        <w:t xml:space="preserve"> el retiro del cargo del Juez de Paz</w:t>
      </w:r>
      <w:r w:rsidR="009333A3">
        <w:rPr>
          <w:rFonts w:ascii="Arial" w:hAnsi="Arial" w:cs="Arial"/>
          <w:sz w:val="22"/>
          <w:szCs w:val="22"/>
          <w:lang w:val="es-ES_tradnl"/>
        </w:rPr>
        <w:t>, l</w:t>
      </w:r>
      <w:r w:rsidRPr="007234DB">
        <w:rPr>
          <w:rFonts w:ascii="Arial" w:hAnsi="Arial" w:cs="Arial"/>
          <w:sz w:val="22"/>
          <w:szCs w:val="22"/>
          <w:lang w:val="es-ES_tradnl"/>
        </w:rPr>
        <w:t>a eventual existencia de decisiones disciplinarias no convierte a la Alcaldesa en autoridad competente para ejecutar sus efectos</w:t>
      </w:r>
      <w:r w:rsidR="009333A3">
        <w:rPr>
          <w:rFonts w:ascii="Arial" w:hAnsi="Arial" w:cs="Arial"/>
          <w:sz w:val="22"/>
          <w:szCs w:val="22"/>
          <w:lang w:val="es-ES_tradnl"/>
        </w:rPr>
        <w:t>, l</w:t>
      </w:r>
      <w:r w:rsidRPr="007234DB">
        <w:rPr>
          <w:rFonts w:ascii="Arial" w:hAnsi="Arial" w:cs="Arial"/>
          <w:sz w:val="22"/>
          <w:szCs w:val="22"/>
          <w:lang w:val="es-ES_tradnl"/>
        </w:rPr>
        <w:t>as decisiones disciplinarias producen las consecuencias previstas en el ordenamiento jurídico y deben ser ejecutadas por las autoridades legalmente competentes.</w:t>
      </w:r>
    </w:p>
    <w:p w14:paraId="39870E37" w14:textId="77777777" w:rsidR="009333A3" w:rsidRDefault="009333A3" w:rsidP="007234DB">
      <w:pPr>
        <w:jc w:val="both"/>
        <w:rPr>
          <w:rFonts w:ascii="Arial" w:hAnsi="Arial" w:cs="Arial"/>
          <w:sz w:val="22"/>
          <w:szCs w:val="22"/>
          <w:lang w:val="es-ES_tradnl"/>
        </w:rPr>
      </w:pPr>
    </w:p>
    <w:p w14:paraId="497E5010" w14:textId="28F7277F" w:rsidR="007234DB" w:rsidRDefault="009333A3" w:rsidP="007234DB">
      <w:pPr>
        <w:jc w:val="both"/>
        <w:rPr>
          <w:rFonts w:ascii="Arial" w:hAnsi="Arial" w:cs="Arial"/>
          <w:sz w:val="22"/>
          <w:szCs w:val="22"/>
          <w:lang w:val="es-ES_tradnl"/>
        </w:rPr>
      </w:pPr>
      <w:r>
        <w:rPr>
          <w:rFonts w:ascii="Arial" w:hAnsi="Arial" w:cs="Arial"/>
          <w:sz w:val="22"/>
          <w:szCs w:val="22"/>
          <w:lang w:val="es-ES_tradnl"/>
        </w:rPr>
        <w:t>Respecto a la petición de desalojo es pertinente indicar que el</w:t>
      </w:r>
      <w:r w:rsidR="007234DB" w:rsidRPr="007234DB">
        <w:rPr>
          <w:rFonts w:ascii="Arial" w:hAnsi="Arial" w:cs="Arial"/>
          <w:sz w:val="22"/>
          <w:szCs w:val="22"/>
          <w:lang w:val="es-ES_tradnl"/>
        </w:rPr>
        <w:t xml:space="preserve"> espacio asignado por el Municipio constituye un apoyo institucional para el funcionamiento de un mecanismo constitucional de administración de justicia.</w:t>
      </w:r>
    </w:p>
    <w:p w14:paraId="69B29F43" w14:textId="77777777" w:rsidR="009333A3" w:rsidRPr="007234DB" w:rsidRDefault="009333A3" w:rsidP="007234DB">
      <w:pPr>
        <w:jc w:val="both"/>
        <w:rPr>
          <w:rFonts w:ascii="Arial" w:hAnsi="Arial" w:cs="Arial"/>
          <w:sz w:val="22"/>
          <w:szCs w:val="22"/>
          <w:lang w:val="es-ES_tradnl"/>
        </w:rPr>
      </w:pPr>
    </w:p>
    <w:p w14:paraId="0DD2604A" w14:textId="77777777" w:rsid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Mientras la autoridad competente no adopte una decisión que modifique la situación jurídica del Juez de Paz o disponga expresamente una medida sobre dicho espacio, la Administración Municipal no puede impedir el ejercicio de funciones jurisdiccionales mediante una decisión administrativa propia.</w:t>
      </w:r>
    </w:p>
    <w:p w14:paraId="5728F282" w14:textId="77777777" w:rsidR="009333A3" w:rsidRPr="007234DB" w:rsidRDefault="009333A3" w:rsidP="007234DB">
      <w:pPr>
        <w:jc w:val="both"/>
        <w:rPr>
          <w:rFonts w:ascii="Arial" w:hAnsi="Arial" w:cs="Arial"/>
          <w:sz w:val="22"/>
          <w:szCs w:val="22"/>
          <w:lang w:val="es-ES_tradnl"/>
        </w:rPr>
      </w:pPr>
    </w:p>
    <w:p w14:paraId="0CDD341D" w14:textId="42C6A698" w:rsidR="007234DB" w:rsidRDefault="007234DB" w:rsidP="009333A3">
      <w:pPr>
        <w:jc w:val="both"/>
        <w:rPr>
          <w:rFonts w:ascii="Arial" w:hAnsi="Arial" w:cs="Arial"/>
          <w:sz w:val="22"/>
          <w:szCs w:val="22"/>
          <w:lang w:val="es-ES_tradnl"/>
        </w:rPr>
      </w:pPr>
      <w:r w:rsidRPr="007234DB">
        <w:rPr>
          <w:rFonts w:ascii="Arial" w:hAnsi="Arial" w:cs="Arial"/>
          <w:sz w:val="22"/>
          <w:szCs w:val="22"/>
          <w:lang w:val="es-ES_tradnl"/>
        </w:rPr>
        <w:t>La Administración observa que junto con el derecho de petición fueron allegadas providencias disciplinarias y certificaciones relacionadas con el señor Robinson Ochoa Castillo</w:t>
      </w:r>
      <w:r w:rsidR="009333A3">
        <w:rPr>
          <w:rFonts w:ascii="Arial" w:hAnsi="Arial" w:cs="Arial"/>
          <w:sz w:val="22"/>
          <w:szCs w:val="22"/>
          <w:lang w:val="es-ES_tradnl"/>
        </w:rPr>
        <w:t>, sin embargo no es este Despacho el llamado a ejecutarlas.</w:t>
      </w:r>
    </w:p>
    <w:p w14:paraId="330DB15F" w14:textId="77777777" w:rsidR="009333A3" w:rsidRPr="007234DB" w:rsidRDefault="009333A3" w:rsidP="009333A3">
      <w:pPr>
        <w:jc w:val="both"/>
        <w:rPr>
          <w:rFonts w:ascii="Arial" w:hAnsi="Arial" w:cs="Arial"/>
          <w:sz w:val="22"/>
          <w:szCs w:val="22"/>
          <w:lang w:val="es-ES_tradnl"/>
        </w:rPr>
      </w:pPr>
    </w:p>
    <w:p w14:paraId="577CFAE6" w14:textId="55F23C5B" w:rsidR="007234DB" w:rsidRPr="007234DB" w:rsidRDefault="007234DB" w:rsidP="007234DB">
      <w:pPr>
        <w:jc w:val="both"/>
        <w:rPr>
          <w:rFonts w:ascii="Arial" w:hAnsi="Arial" w:cs="Arial"/>
          <w:sz w:val="22"/>
          <w:szCs w:val="22"/>
          <w:lang w:val="es-ES_tradnl"/>
        </w:rPr>
      </w:pPr>
      <w:r w:rsidRPr="007234DB">
        <w:rPr>
          <w:rFonts w:ascii="Arial" w:hAnsi="Arial" w:cs="Arial"/>
          <w:sz w:val="22"/>
          <w:szCs w:val="22"/>
          <w:lang w:val="es-ES_tradnl"/>
        </w:rPr>
        <w:t>No obstante lo anterior, y en aplicación del artículo 21 de la Ley 1755 de 2015, cuando una autoridad recibe una petición respecto de asuntos que no son de su competencia, tiene el deber de remitirla a la autoridad competente e informar de ello al peticionario</w:t>
      </w:r>
      <w:r w:rsidR="009333A3">
        <w:rPr>
          <w:rFonts w:ascii="Arial" w:hAnsi="Arial" w:cs="Arial"/>
          <w:sz w:val="22"/>
          <w:szCs w:val="22"/>
          <w:lang w:val="es-ES_tradnl"/>
        </w:rPr>
        <w:t>, e</w:t>
      </w:r>
      <w:r w:rsidRPr="007234DB">
        <w:rPr>
          <w:rFonts w:ascii="Arial" w:hAnsi="Arial" w:cs="Arial"/>
          <w:sz w:val="22"/>
          <w:szCs w:val="22"/>
          <w:lang w:val="es-ES_tradnl"/>
        </w:rPr>
        <w:t>n cumplimiento de dicha obligación legal, se dispondrá la remisión integral del escrito y de sus anexos a la autoridad competente para que, dentro del ámbito de sus atribuciones constitucionales y legales, determine si existe lugar a adoptar alguna actuación derivada de los hechos puestos en conocimiento.</w:t>
      </w:r>
    </w:p>
    <w:p w14:paraId="4B67D640" w14:textId="77777777" w:rsidR="009333A3" w:rsidRDefault="009333A3" w:rsidP="007234DB">
      <w:pPr>
        <w:jc w:val="both"/>
        <w:rPr>
          <w:rFonts w:ascii="Arial" w:hAnsi="Arial" w:cs="Arial"/>
          <w:sz w:val="22"/>
          <w:szCs w:val="22"/>
          <w:lang w:val="es-ES_tradnl"/>
        </w:rPr>
      </w:pPr>
    </w:p>
    <w:p w14:paraId="490E1F31" w14:textId="20253B9F" w:rsidR="007234DB" w:rsidRDefault="009333A3" w:rsidP="009333A3">
      <w:pPr>
        <w:jc w:val="both"/>
        <w:rPr>
          <w:rFonts w:ascii="Arial" w:hAnsi="Arial" w:cs="Arial"/>
          <w:sz w:val="22"/>
          <w:szCs w:val="22"/>
          <w:lang w:val="es-ES_tradnl"/>
        </w:rPr>
      </w:pPr>
      <w:r>
        <w:rPr>
          <w:rFonts w:ascii="Arial" w:hAnsi="Arial" w:cs="Arial"/>
          <w:sz w:val="22"/>
          <w:szCs w:val="22"/>
          <w:lang w:val="es-ES_tradnl"/>
        </w:rPr>
        <w:t>Así las cosas No es posible acceder a su petición sin embargo se ordena remitir</w:t>
      </w:r>
      <w:r w:rsidR="007234DB" w:rsidRPr="007234DB">
        <w:rPr>
          <w:rFonts w:ascii="Arial" w:hAnsi="Arial" w:cs="Arial"/>
          <w:sz w:val="22"/>
          <w:szCs w:val="22"/>
          <w:lang w:val="es-ES_tradnl"/>
        </w:rPr>
        <w:t>, de conformidad con el artículo 21 de la Ley 1755 de 2015, copia íntegra del derecho de petición y de sus anexos a la Comisión Seccional de Disciplina Judicial de Cundinamarca, para que, dentro de la órbita de sus competencias, evalúen los hechos expuestos y adopten las decisiones que estimen procedentes, informando de dicha remisión a la peticionaria.</w:t>
      </w:r>
    </w:p>
    <w:p w14:paraId="04165649" w14:textId="77777777" w:rsidR="007234DB" w:rsidRPr="00B049DF" w:rsidRDefault="007234DB" w:rsidP="00B049DF">
      <w:pPr>
        <w:jc w:val="both"/>
        <w:rPr>
          <w:rFonts w:ascii="Arial" w:hAnsi="Arial" w:cs="Arial"/>
          <w:sz w:val="22"/>
          <w:szCs w:val="22"/>
          <w:lang w:val="es-ES_tradnl"/>
        </w:rPr>
      </w:pPr>
    </w:p>
    <w:p w14:paraId="187240BD" w14:textId="633E6411" w:rsidR="00F01CAB" w:rsidRPr="00B049DF" w:rsidRDefault="00F01CAB" w:rsidP="00B049DF">
      <w:pPr>
        <w:jc w:val="both"/>
        <w:rPr>
          <w:rFonts w:ascii="Arial" w:hAnsi="Arial" w:cs="Arial"/>
          <w:sz w:val="22"/>
          <w:szCs w:val="22"/>
          <w:lang w:val="es-ES_tradnl"/>
        </w:rPr>
      </w:pPr>
      <w:r w:rsidRPr="00B049DF">
        <w:rPr>
          <w:rFonts w:ascii="Arial" w:hAnsi="Arial" w:cs="Arial"/>
          <w:sz w:val="22"/>
          <w:szCs w:val="22"/>
          <w:lang w:val="es-ES_tradnl"/>
        </w:rPr>
        <w:t xml:space="preserve">Atentamente, </w:t>
      </w:r>
    </w:p>
    <w:p w14:paraId="722A4DED" w14:textId="77777777" w:rsidR="00F01CAB" w:rsidRPr="00B049DF" w:rsidRDefault="00F01CAB" w:rsidP="00B049DF">
      <w:pPr>
        <w:jc w:val="both"/>
        <w:rPr>
          <w:rFonts w:ascii="Arial" w:hAnsi="Arial" w:cs="Arial"/>
          <w:sz w:val="22"/>
          <w:szCs w:val="22"/>
          <w:lang w:val="es-ES_tradnl"/>
        </w:rPr>
      </w:pPr>
    </w:p>
    <w:p w14:paraId="5BFC70EF" w14:textId="77777777" w:rsidR="00F01CAB" w:rsidRPr="00B049DF" w:rsidRDefault="00F01CAB" w:rsidP="00B049DF">
      <w:pPr>
        <w:jc w:val="both"/>
        <w:rPr>
          <w:rFonts w:ascii="Arial" w:hAnsi="Arial" w:cs="Arial"/>
          <w:b/>
          <w:sz w:val="22"/>
          <w:szCs w:val="22"/>
          <w:lang w:val="es-ES_tradnl"/>
        </w:rPr>
      </w:pPr>
    </w:p>
    <w:p w14:paraId="7E857A21" w14:textId="77777777" w:rsidR="00F01CAB" w:rsidRPr="00B049DF" w:rsidRDefault="00F01CAB" w:rsidP="00B049DF">
      <w:pPr>
        <w:jc w:val="both"/>
        <w:rPr>
          <w:rFonts w:ascii="Arial" w:hAnsi="Arial" w:cs="Arial"/>
          <w:b/>
          <w:sz w:val="22"/>
          <w:szCs w:val="22"/>
          <w:lang w:val="es-ES_tradnl"/>
        </w:rPr>
      </w:pPr>
    </w:p>
    <w:p w14:paraId="1E000C4D" w14:textId="77777777" w:rsidR="00343BD5" w:rsidRPr="00B049DF" w:rsidRDefault="00343BD5" w:rsidP="00B049DF">
      <w:pPr>
        <w:jc w:val="both"/>
        <w:rPr>
          <w:rFonts w:ascii="Arial" w:eastAsia="Times New Roman" w:hAnsi="Arial" w:cs="Arial"/>
          <w:sz w:val="22"/>
          <w:szCs w:val="22"/>
          <w:lang w:val="es-ES_tradnl" w:eastAsia="es-CO"/>
        </w:rPr>
      </w:pPr>
    </w:p>
    <w:p w14:paraId="56BB7EDF" w14:textId="77777777" w:rsidR="00F534A4" w:rsidRPr="00B049DF" w:rsidRDefault="00F534A4" w:rsidP="00B049DF">
      <w:pPr>
        <w:jc w:val="both"/>
        <w:rPr>
          <w:rFonts w:ascii="Arial" w:eastAsia="Times New Roman" w:hAnsi="Arial" w:cs="Arial"/>
          <w:color w:val="000000"/>
          <w:sz w:val="22"/>
          <w:szCs w:val="22"/>
          <w:lang w:val="es-ES_tradnl" w:eastAsia="es-CO"/>
        </w:rPr>
      </w:pPr>
    </w:p>
    <w:p w14:paraId="604A5F20" w14:textId="77777777" w:rsidR="00F534A4" w:rsidRPr="00B049DF" w:rsidRDefault="00F534A4" w:rsidP="00B049DF">
      <w:pPr>
        <w:jc w:val="both"/>
        <w:rPr>
          <w:rFonts w:ascii="Arial" w:eastAsia="Times New Roman" w:hAnsi="Arial" w:cs="Arial"/>
          <w:color w:val="000000"/>
          <w:sz w:val="22"/>
          <w:szCs w:val="22"/>
          <w:lang w:val="es-ES_tradnl" w:eastAsia="es-CO"/>
        </w:rPr>
      </w:pPr>
    </w:p>
    <w:p w14:paraId="62F0F049" w14:textId="77777777" w:rsidR="00343BD5" w:rsidRPr="00B049DF" w:rsidRDefault="00343BD5" w:rsidP="00B049DF">
      <w:pPr>
        <w:jc w:val="both"/>
        <w:rPr>
          <w:rFonts w:ascii="Arial" w:eastAsia="Times New Roman" w:hAnsi="Arial" w:cs="Arial"/>
          <w:sz w:val="22"/>
          <w:szCs w:val="22"/>
          <w:lang w:val="es-ES_tradnl" w:eastAsia="es-CO"/>
        </w:rPr>
      </w:pPr>
    </w:p>
    <w:tbl>
      <w:tblPr>
        <w:tblW w:w="0" w:type="auto"/>
        <w:tblCellMar>
          <w:top w:w="15" w:type="dxa"/>
          <w:left w:w="15" w:type="dxa"/>
          <w:bottom w:w="15" w:type="dxa"/>
          <w:right w:w="15" w:type="dxa"/>
        </w:tblCellMar>
        <w:tblLook w:val="04A0" w:firstRow="1" w:lastRow="0" w:firstColumn="1" w:lastColumn="0" w:noHBand="0" w:noVBand="1"/>
      </w:tblPr>
      <w:tblGrid>
        <w:gridCol w:w="1238"/>
        <w:gridCol w:w="3049"/>
        <w:gridCol w:w="1114"/>
        <w:gridCol w:w="3432"/>
      </w:tblGrid>
      <w:tr w:rsidR="00343BD5" w:rsidRPr="00B049DF" w14:paraId="3A1F8B6F" w14:textId="77777777" w:rsidTr="00AE7E25">
        <w:trPr>
          <w:trHeight w:val="283"/>
        </w:trPr>
        <w:tc>
          <w:tcPr>
            <w:tcW w:w="0" w:type="auto"/>
            <w:tcBorders>
              <w:bottom w:val="single" w:sz="4" w:space="0" w:color="auto"/>
              <w:right w:val="single" w:sz="4" w:space="0" w:color="000000"/>
            </w:tcBorders>
            <w:tcMar>
              <w:top w:w="0" w:type="dxa"/>
              <w:left w:w="115" w:type="dxa"/>
              <w:bottom w:w="0" w:type="dxa"/>
              <w:right w:w="115" w:type="dxa"/>
            </w:tcMar>
            <w:vAlign w:val="center"/>
            <w:hideMark/>
          </w:tcPr>
          <w:p w14:paraId="503F0094" w14:textId="77777777" w:rsidR="00343BD5" w:rsidRPr="00B049DF" w:rsidRDefault="00343BD5" w:rsidP="00B049DF">
            <w:pPr>
              <w:jc w:val="both"/>
              <w:rPr>
                <w:rFonts w:ascii="Arial" w:eastAsia="Times New Roman" w:hAnsi="Arial" w:cs="Arial"/>
                <w:sz w:val="13"/>
                <w:szCs w:val="13"/>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06025D" w14:textId="77777777" w:rsidR="00343BD5" w:rsidRPr="00B049DF" w:rsidRDefault="00343BD5" w:rsidP="00B049DF">
            <w:pPr>
              <w:jc w:val="both"/>
              <w:rPr>
                <w:rFonts w:ascii="Arial" w:eastAsia="Times New Roman" w:hAnsi="Arial" w:cs="Arial"/>
                <w:sz w:val="13"/>
                <w:szCs w:val="13"/>
                <w:lang w:val="es-ES_tradnl" w:eastAsia="es-CO"/>
              </w:rPr>
            </w:pPr>
            <w:r w:rsidRPr="00B049DF">
              <w:rPr>
                <w:rFonts w:ascii="Arial" w:eastAsia="Times New Roman" w:hAnsi="Arial" w:cs="Arial"/>
                <w:b/>
                <w:bCs/>
                <w:color w:val="000000"/>
                <w:sz w:val="13"/>
                <w:szCs w:val="13"/>
                <w:lang w:val="es-ES_tradnl" w:eastAsia="es-CO"/>
              </w:rPr>
              <w:t>NOMBRE Y APELLIDO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956009" w14:textId="77777777" w:rsidR="00343BD5" w:rsidRPr="00B049DF" w:rsidRDefault="00343BD5" w:rsidP="00B049DF">
            <w:pPr>
              <w:jc w:val="both"/>
              <w:rPr>
                <w:rFonts w:ascii="Arial" w:eastAsia="Times New Roman" w:hAnsi="Arial" w:cs="Arial"/>
                <w:sz w:val="13"/>
                <w:szCs w:val="13"/>
                <w:lang w:val="es-ES_tradnl" w:eastAsia="es-CO"/>
              </w:rPr>
            </w:pPr>
            <w:r w:rsidRPr="00B049DF">
              <w:rPr>
                <w:rFonts w:ascii="Arial" w:eastAsia="Times New Roman" w:hAnsi="Arial" w:cs="Arial"/>
                <w:b/>
                <w:bCs/>
                <w:color w:val="000000"/>
                <w:sz w:val="13"/>
                <w:szCs w:val="13"/>
                <w:lang w:val="es-ES_tradnl" w:eastAsia="es-CO"/>
              </w:rPr>
              <w:t>FIRMA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92003A" w14:textId="77777777" w:rsidR="00343BD5" w:rsidRPr="00B049DF" w:rsidRDefault="00343BD5" w:rsidP="00B049DF">
            <w:pPr>
              <w:jc w:val="both"/>
              <w:rPr>
                <w:rFonts w:ascii="Arial" w:eastAsia="Times New Roman" w:hAnsi="Arial" w:cs="Arial"/>
                <w:sz w:val="13"/>
                <w:szCs w:val="13"/>
                <w:lang w:val="es-ES_tradnl" w:eastAsia="es-CO"/>
              </w:rPr>
            </w:pPr>
            <w:r w:rsidRPr="00B049DF">
              <w:rPr>
                <w:rFonts w:ascii="Arial" w:eastAsia="Times New Roman" w:hAnsi="Arial" w:cs="Arial"/>
                <w:b/>
                <w:bCs/>
                <w:color w:val="000000"/>
                <w:sz w:val="13"/>
                <w:szCs w:val="13"/>
                <w:lang w:val="es-ES_tradnl" w:eastAsia="es-CO"/>
              </w:rPr>
              <w:t>CARGO Y ÁREA</w:t>
            </w:r>
          </w:p>
        </w:tc>
      </w:tr>
      <w:tr w:rsidR="00AE7E25" w:rsidRPr="00B049DF" w14:paraId="3E56609F" w14:textId="77777777" w:rsidTr="00AE7E25">
        <w:trPr>
          <w:trHeight w:val="283"/>
        </w:trPr>
        <w:tc>
          <w:tcPr>
            <w:tcW w:w="0" w:type="auto"/>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3CDF5EF7" w14:textId="2A0E5D65" w:rsidR="00AE7E25" w:rsidRPr="00B049DF" w:rsidRDefault="00AE7E25" w:rsidP="00B049DF">
            <w:pPr>
              <w:jc w:val="both"/>
              <w:rPr>
                <w:rFonts w:ascii="Arial" w:eastAsia="Times New Roman" w:hAnsi="Arial" w:cs="Arial"/>
                <w:b/>
                <w:bCs/>
                <w:sz w:val="13"/>
                <w:szCs w:val="13"/>
                <w:lang w:val="es-ES_tradnl" w:eastAsia="es-CO"/>
              </w:rPr>
            </w:pPr>
            <w:r w:rsidRPr="00B049DF">
              <w:rPr>
                <w:rFonts w:ascii="Arial" w:eastAsia="Times New Roman" w:hAnsi="Arial" w:cs="Arial"/>
                <w:b/>
                <w:bCs/>
                <w:sz w:val="13"/>
                <w:szCs w:val="13"/>
                <w:lang w:val="es-ES_tradnl" w:eastAsia="es-CO"/>
              </w:rPr>
              <w:t>Elaboró</w:t>
            </w:r>
          </w:p>
        </w:tc>
        <w:tc>
          <w:tcPr>
            <w:tcW w:w="0" w:type="auto"/>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604AED17" w14:textId="13C9EFB0" w:rsidR="00AE7E25" w:rsidRPr="00B049DF" w:rsidRDefault="009549E2" w:rsidP="00B049DF">
            <w:pPr>
              <w:jc w:val="both"/>
              <w:rPr>
                <w:rFonts w:ascii="Arial" w:eastAsia="Times New Roman" w:hAnsi="Arial" w:cs="Arial"/>
                <w:color w:val="000000"/>
                <w:sz w:val="13"/>
                <w:szCs w:val="13"/>
                <w:lang w:val="es-ES_tradnl" w:eastAsia="es-CO"/>
              </w:rPr>
            </w:pPr>
            <w:r w:rsidRPr="00B049DF">
              <w:rPr>
                <w:rFonts w:ascii="Arial" w:eastAsia="Times New Roman" w:hAnsi="Arial" w:cs="Arial"/>
                <w:color w:val="000000"/>
                <w:sz w:val="13"/>
                <w:szCs w:val="13"/>
                <w:lang w:val="es-ES_tradnl" w:eastAsia="es-CO"/>
              </w:rPr>
              <w:t>Carolina López Cogua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767082" w14:textId="77777777" w:rsidR="00AE7E25" w:rsidRPr="00B049DF" w:rsidRDefault="00AE7E25" w:rsidP="00B049DF">
            <w:pPr>
              <w:jc w:val="both"/>
              <w:rPr>
                <w:rFonts w:ascii="Arial" w:eastAsia="Times New Roman" w:hAnsi="Arial" w:cs="Arial"/>
                <w:b/>
                <w:bCs/>
                <w:color w:val="000000"/>
                <w:sz w:val="13"/>
                <w:szCs w:val="13"/>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C70D4F" w14:textId="125EF7AF" w:rsidR="00AE7E25" w:rsidRPr="00B049DF" w:rsidRDefault="009549E2" w:rsidP="00B049DF">
            <w:pPr>
              <w:jc w:val="both"/>
              <w:rPr>
                <w:rFonts w:ascii="Arial" w:eastAsia="Times New Roman" w:hAnsi="Arial" w:cs="Arial"/>
                <w:color w:val="000000"/>
                <w:sz w:val="13"/>
                <w:szCs w:val="13"/>
                <w:lang w:val="es-ES_tradnl" w:eastAsia="es-CO"/>
              </w:rPr>
            </w:pPr>
            <w:r w:rsidRPr="00B049DF">
              <w:rPr>
                <w:rFonts w:ascii="Arial" w:eastAsia="Times New Roman" w:hAnsi="Arial" w:cs="Arial"/>
                <w:color w:val="000000"/>
                <w:sz w:val="13"/>
                <w:szCs w:val="13"/>
                <w:lang w:val="es-ES_tradnl" w:eastAsia="es-CO"/>
              </w:rPr>
              <w:t>Profesional Universitario</w:t>
            </w:r>
          </w:p>
        </w:tc>
      </w:tr>
      <w:tr w:rsidR="00343BD5" w:rsidRPr="00B049DF" w14:paraId="3773C822" w14:textId="77777777" w:rsidTr="00AE7E25">
        <w:trPr>
          <w:trHeight w:val="283"/>
        </w:trPr>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D39F97" w14:textId="77777777" w:rsidR="00343BD5" w:rsidRPr="00B049DF" w:rsidRDefault="00343BD5" w:rsidP="00B049DF">
            <w:pPr>
              <w:jc w:val="both"/>
              <w:rPr>
                <w:rFonts w:ascii="Arial" w:eastAsia="Times New Roman" w:hAnsi="Arial" w:cs="Arial"/>
                <w:sz w:val="13"/>
                <w:szCs w:val="13"/>
                <w:lang w:val="es-ES_tradnl" w:eastAsia="es-CO"/>
              </w:rPr>
            </w:pPr>
            <w:r w:rsidRPr="00B049DF">
              <w:rPr>
                <w:rFonts w:ascii="Arial" w:eastAsia="Times New Roman" w:hAnsi="Arial" w:cs="Arial"/>
                <w:b/>
                <w:bCs/>
                <w:color w:val="000000"/>
                <w:sz w:val="13"/>
                <w:szCs w:val="13"/>
                <w:lang w:val="es-ES_tradnl" w:eastAsia="es-CO"/>
              </w:rPr>
              <w:t>Revisó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9E2EF0" w14:textId="77777777" w:rsidR="00343BD5" w:rsidRPr="00B049DF" w:rsidRDefault="00343BD5" w:rsidP="00B049DF">
            <w:pPr>
              <w:jc w:val="both"/>
              <w:rPr>
                <w:rFonts w:ascii="Arial" w:eastAsia="Times New Roman" w:hAnsi="Arial" w:cs="Arial"/>
                <w:sz w:val="13"/>
                <w:szCs w:val="13"/>
                <w:lang w:val="es-ES_tradnl" w:eastAsia="es-CO"/>
              </w:rPr>
            </w:pPr>
            <w:r w:rsidRPr="00B049DF">
              <w:rPr>
                <w:rFonts w:ascii="Arial" w:eastAsia="Times New Roman" w:hAnsi="Arial" w:cs="Arial"/>
                <w:color w:val="000000"/>
                <w:sz w:val="13"/>
                <w:szCs w:val="13"/>
                <w:lang w:val="es-ES_tradnl" w:eastAsia="es-CO"/>
              </w:rPr>
              <w:t>Hugo Alejandro Palacios Santafé</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7B60D0" w14:textId="77777777" w:rsidR="00343BD5" w:rsidRPr="00B049DF" w:rsidRDefault="00343BD5" w:rsidP="00B049DF">
            <w:pPr>
              <w:jc w:val="both"/>
              <w:rPr>
                <w:rFonts w:ascii="Arial" w:eastAsia="Times New Roman" w:hAnsi="Arial" w:cs="Arial"/>
                <w:sz w:val="13"/>
                <w:szCs w:val="13"/>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3DEB2B" w14:textId="77777777" w:rsidR="00343BD5" w:rsidRPr="00B049DF" w:rsidRDefault="00343BD5" w:rsidP="00B049DF">
            <w:pPr>
              <w:jc w:val="both"/>
              <w:rPr>
                <w:rFonts w:ascii="Arial" w:eastAsia="Times New Roman" w:hAnsi="Arial" w:cs="Arial"/>
                <w:sz w:val="13"/>
                <w:szCs w:val="13"/>
                <w:lang w:val="es-ES_tradnl" w:eastAsia="es-CO"/>
              </w:rPr>
            </w:pPr>
            <w:r w:rsidRPr="00B049DF">
              <w:rPr>
                <w:rFonts w:ascii="Arial" w:eastAsia="Times New Roman" w:hAnsi="Arial" w:cs="Arial"/>
                <w:color w:val="000000"/>
                <w:sz w:val="13"/>
                <w:szCs w:val="13"/>
                <w:lang w:val="es-ES_tradnl" w:eastAsia="es-CO"/>
              </w:rPr>
              <w:t>Asesor jurídico externo del Despacho </w:t>
            </w:r>
          </w:p>
        </w:tc>
      </w:tr>
      <w:tr w:rsidR="00343BD5" w:rsidRPr="00B049DF" w14:paraId="06E045BD" w14:textId="77777777">
        <w:trPr>
          <w:trHeight w:val="536"/>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B6D398" w14:textId="77777777" w:rsidR="00343BD5" w:rsidRPr="00B049DF" w:rsidRDefault="00343BD5" w:rsidP="00B049DF">
            <w:pPr>
              <w:jc w:val="both"/>
              <w:rPr>
                <w:rFonts w:ascii="Arial" w:eastAsia="Times New Roman" w:hAnsi="Arial" w:cs="Arial"/>
                <w:sz w:val="13"/>
                <w:szCs w:val="13"/>
                <w:lang w:val="es-ES_tradnl" w:eastAsia="es-CO"/>
              </w:rPr>
            </w:pPr>
            <w:r w:rsidRPr="00B049DF">
              <w:rPr>
                <w:rFonts w:ascii="Arial" w:eastAsia="Times New Roman" w:hAnsi="Arial" w:cs="Arial"/>
                <w:color w:val="000000"/>
                <w:sz w:val="13"/>
                <w:szCs w:val="13"/>
                <w:lang w:val="es-ES_tradnl" w:eastAsia="es-CO"/>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3F7E815B" w14:textId="19EF08E8" w:rsidR="00F01CAB" w:rsidRPr="00B049DF" w:rsidRDefault="00F01CAB" w:rsidP="00B049DF">
      <w:pPr>
        <w:spacing w:after="160" w:line="259" w:lineRule="auto"/>
        <w:jc w:val="both"/>
        <w:rPr>
          <w:rFonts w:ascii="Arial" w:hAnsi="Arial" w:cs="Arial"/>
          <w:sz w:val="22"/>
          <w:szCs w:val="22"/>
          <w:lang w:val="es-ES_tradnl"/>
        </w:rPr>
      </w:pPr>
    </w:p>
    <w:sectPr w:rsidR="00F01CAB" w:rsidRPr="00B049DF" w:rsidSect="00371840">
      <w:headerReference w:type="even" r:id="rId7"/>
      <w:headerReference w:type="default" r:id="rId8"/>
      <w:footerReference w:type="default" r:id="rId9"/>
      <w:headerReference w:type="first" r:id="rId10"/>
      <w:pgSz w:w="12240" w:h="18720" w:code="128"/>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D95B" w14:textId="77777777" w:rsidR="00AD5011" w:rsidRDefault="00AD5011">
      <w:r>
        <w:separator/>
      </w:r>
    </w:p>
  </w:endnote>
  <w:endnote w:type="continuationSeparator" w:id="0">
    <w:p w14:paraId="0BBEAABD" w14:textId="77777777" w:rsidR="00AD5011" w:rsidRDefault="00AD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0EBC2" w14:textId="77777777" w:rsidR="00026E95" w:rsidRDefault="008957AB">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0AD5FEEC" wp14:editId="4EA14DC5">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63AC" w14:textId="77777777" w:rsidR="00AD5011" w:rsidRDefault="00AD5011">
      <w:r>
        <w:separator/>
      </w:r>
    </w:p>
  </w:footnote>
  <w:footnote w:type="continuationSeparator" w:id="0">
    <w:p w14:paraId="460BD735" w14:textId="77777777" w:rsidR="00AD5011" w:rsidRDefault="00AD5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A01F" w14:textId="77777777" w:rsidR="00026E95" w:rsidRDefault="00AD5011">
    <w:pPr>
      <w:pBdr>
        <w:top w:val="nil"/>
        <w:left w:val="nil"/>
        <w:bottom w:val="nil"/>
        <w:right w:val="nil"/>
        <w:between w:val="nil"/>
      </w:pBdr>
      <w:tabs>
        <w:tab w:val="center" w:pos="4419"/>
        <w:tab w:val="right" w:pos="8838"/>
      </w:tabs>
      <w:rPr>
        <w:color w:val="000000"/>
      </w:rPr>
    </w:pPr>
    <w:r>
      <w:rPr>
        <w:color w:val="000000"/>
      </w:rPr>
      <w:pict w14:anchorId="5C1B6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A47C" w14:textId="77777777" w:rsidR="00026E95" w:rsidRDefault="00026E95">
    <w:pPr>
      <w:tabs>
        <w:tab w:val="center" w:pos="4419"/>
        <w:tab w:val="right" w:pos="8838"/>
      </w:tabs>
      <w:ind w:left="-284"/>
      <w:rPr>
        <w:color w:val="FF0000"/>
        <w:sz w:val="16"/>
        <w:szCs w:val="16"/>
      </w:rPr>
    </w:pPr>
  </w:p>
  <w:p w14:paraId="1148D329" w14:textId="77777777" w:rsidR="00026E95" w:rsidRDefault="00AD5011">
    <w:pPr>
      <w:pBdr>
        <w:top w:val="nil"/>
        <w:left w:val="nil"/>
        <w:bottom w:val="nil"/>
        <w:right w:val="nil"/>
        <w:between w:val="nil"/>
      </w:pBdr>
      <w:tabs>
        <w:tab w:val="center" w:pos="4419"/>
        <w:tab w:val="right" w:pos="8838"/>
      </w:tabs>
      <w:ind w:left="-284" w:firstLine="284"/>
      <w:rPr>
        <w:color w:val="000000"/>
      </w:rPr>
    </w:pPr>
    <w:r>
      <w:rPr>
        <w:color w:val="000000"/>
      </w:rPr>
      <w:pict w14:anchorId="76859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8957AB">
      <w:rPr>
        <w:noProof/>
        <w:color w:val="000000"/>
      </w:rPr>
      <w:drawing>
        <wp:inline distT="0" distB="0" distL="0" distR="0" wp14:anchorId="442512C4" wp14:editId="5D4DC045">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18F9" w14:textId="77777777" w:rsidR="00026E95" w:rsidRDefault="00AD5011">
    <w:pPr>
      <w:pBdr>
        <w:top w:val="nil"/>
        <w:left w:val="nil"/>
        <w:bottom w:val="nil"/>
        <w:right w:val="nil"/>
        <w:between w:val="nil"/>
      </w:pBdr>
      <w:tabs>
        <w:tab w:val="center" w:pos="4419"/>
        <w:tab w:val="right" w:pos="8838"/>
      </w:tabs>
      <w:rPr>
        <w:color w:val="000000"/>
      </w:rPr>
    </w:pPr>
    <w:r>
      <w:rPr>
        <w:color w:val="000000"/>
      </w:rPr>
      <w:pict w14:anchorId="758D9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77ED3FC"/>
    <w:lvl w:ilvl="0">
      <w:start w:val="1"/>
      <w:numFmt w:val="decimal"/>
      <w:pStyle w:val="Listaconnmeros"/>
      <w:lvlText w:val="%1."/>
      <w:lvlJc w:val="left"/>
      <w:pPr>
        <w:tabs>
          <w:tab w:val="num" w:pos="360"/>
        </w:tabs>
        <w:ind w:left="360" w:hanging="360"/>
      </w:pPr>
    </w:lvl>
  </w:abstractNum>
  <w:abstractNum w:abstractNumId="1" w15:restartNumberingAfterBreak="0">
    <w:nsid w:val="0FB67CD5"/>
    <w:multiLevelType w:val="hybridMultilevel"/>
    <w:tmpl w:val="B518D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F0F3ACB"/>
    <w:multiLevelType w:val="hybridMultilevel"/>
    <w:tmpl w:val="6BA28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06A3902"/>
    <w:multiLevelType w:val="hybridMultilevel"/>
    <w:tmpl w:val="A5867B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CF92580"/>
    <w:multiLevelType w:val="hybridMultilevel"/>
    <w:tmpl w:val="71F0A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2887E1C"/>
    <w:multiLevelType w:val="hybridMultilevel"/>
    <w:tmpl w:val="818EBF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480536550">
    <w:abstractNumId w:val="3"/>
  </w:num>
  <w:num w:numId="2" w16cid:durableId="863710844">
    <w:abstractNumId w:val="1"/>
  </w:num>
  <w:num w:numId="3" w16cid:durableId="1259947597">
    <w:abstractNumId w:val="4"/>
  </w:num>
  <w:num w:numId="4" w16cid:durableId="1850831833">
    <w:abstractNumId w:val="2"/>
  </w:num>
  <w:num w:numId="5" w16cid:durableId="971180210">
    <w:abstractNumId w:val="5"/>
  </w:num>
  <w:num w:numId="6" w16cid:durableId="199788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E95"/>
    <w:rsid w:val="000170CA"/>
    <w:rsid w:val="00026E95"/>
    <w:rsid w:val="00074C9E"/>
    <w:rsid w:val="00080FBB"/>
    <w:rsid w:val="00082166"/>
    <w:rsid w:val="000C60A8"/>
    <w:rsid w:val="001B060D"/>
    <w:rsid w:val="001C6A8A"/>
    <w:rsid w:val="00283514"/>
    <w:rsid w:val="002C3D59"/>
    <w:rsid w:val="00312975"/>
    <w:rsid w:val="003211BE"/>
    <w:rsid w:val="00330AC4"/>
    <w:rsid w:val="003369F5"/>
    <w:rsid w:val="00343BD5"/>
    <w:rsid w:val="00364CC8"/>
    <w:rsid w:val="00371840"/>
    <w:rsid w:val="00395B6E"/>
    <w:rsid w:val="003B6D96"/>
    <w:rsid w:val="00405E9E"/>
    <w:rsid w:val="004741E4"/>
    <w:rsid w:val="004C71C2"/>
    <w:rsid w:val="004D08E9"/>
    <w:rsid w:val="004D6522"/>
    <w:rsid w:val="00536EC9"/>
    <w:rsid w:val="005446C0"/>
    <w:rsid w:val="0059099D"/>
    <w:rsid w:val="005A22F4"/>
    <w:rsid w:val="005C1B4B"/>
    <w:rsid w:val="0061105B"/>
    <w:rsid w:val="0064698D"/>
    <w:rsid w:val="006A1068"/>
    <w:rsid w:val="006F6539"/>
    <w:rsid w:val="007234DB"/>
    <w:rsid w:val="0076460A"/>
    <w:rsid w:val="0077205B"/>
    <w:rsid w:val="007838F2"/>
    <w:rsid w:val="007B3B10"/>
    <w:rsid w:val="008957AB"/>
    <w:rsid w:val="008E21AE"/>
    <w:rsid w:val="008F6AFA"/>
    <w:rsid w:val="0092288E"/>
    <w:rsid w:val="009333A3"/>
    <w:rsid w:val="009468E3"/>
    <w:rsid w:val="009549E2"/>
    <w:rsid w:val="00984D50"/>
    <w:rsid w:val="009A0479"/>
    <w:rsid w:val="009F65BE"/>
    <w:rsid w:val="00A11AC8"/>
    <w:rsid w:val="00A162BF"/>
    <w:rsid w:val="00A52334"/>
    <w:rsid w:val="00AD3BDE"/>
    <w:rsid w:val="00AD5011"/>
    <w:rsid w:val="00AE7E25"/>
    <w:rsid w:val="00B049DF"/>
    <w:rsid w:val="00B21249"/>
    <w:rsid w:val="00B61CEA"/>
    <w:rsid w:val="00BB4E15"/>
    <w:rsid w:val="00BB6EDD"/>
    <w:rsid w:val="00BF6161"/>
    <w:rsid w:val="00C4462A"/>
    <w:rsid w:val="00C744ED"/>
    <w:rsid w:val="00C815E4"/>
    <w:rsid w:val="00C956DD"/>
    <w:rsid w:val="00CF1CFF"/>
    <w:rsid w:val="00D422E4"/>
    <w:rsid w:val="00D66B79"/>
    <w:rsid w:val="00D7104F"/>
    <w:rsid w:val="00DF46A4"/>
    <w:rsid w:val="00EA4575"/>
    <w:rsid w:val="00EF4A29"/>
    <w:rsid w:val="00F01CAB"/>
    <w:rsid w:val="00F44922"/>
    <w:rsid w:val="00F51D2D"/>
    <w:rsid w:val="00F534A4"/>
    <w:rsid w:val="00F632EE"/>
    <w:rsid w:val="00F72FFB"/>
    <w:rsid w:val="00F757F0"/>
    <w:rsid w:val="00FA0152"/>
    <w:rsid w:val="00FF65F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8A61B"/>
  <w15:docId w15:val="{0D264DD8-AD43-46C1-9B56-0AE42459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419"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3369F5"/>
    <w:pPr>
      <w:tabs>
        <w:tab w:val="center" w:pos="4419"/>
        <w:tab w:val="right" w:pos="8838"/>
      </w:tabs>
    </w:pPr>
    <w:rPr>
      <w:rFonts w:asciiTheme="minorHAnsi" w:eastAsiaTheme="minorEastAsia"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rsid w:val="003369F5"/>
    <w:rPr>
      <w:rFonts w:asciiTheme="minorHAnsi" w:eastAsiaTheme="minorEastAsia" w:hAnsiTheme="minorHAnsi" w:cstheme="minorBidi"/>
      <w:kern w:val="2"/>
      <w:lang w:eastAsia="en-US"/>
      <w14:ligatures w14:val="standardContextual"/>
    </w:rPr>
  </w:style>
  <w:style w:type="table" w:styleId="Tablaconcuadrcula">
    <w:name w:val="Table Grid"/>
    <w:basedOn w:val="Tablanormal"/>
    <w:uiPriority w:val="39"/>
    <w:rsid w:val="00F01CAB"/>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1CAB"/>
    <w:rPr>
      <w:rFonts w:asciiTheme="minorHAnsi" w:eastAsiaTheme="minorEastAsia" w:hAnsiTheme="minorHAnsi" w:cstheme="minorBidi"/>
      <w:lang w:val="es-ES_tradnl" w:eastAsia="es-ES"/>
    </w:rPr>
  </w:style>
  <w:style w:type="character" w:styleId="Hipervnculo">
    <w:name w:val="Hyperlink"/>
    <w:basedOn w:val="Fuentedeprrafopredeter"/>
    <w:uiPriority w:val="99"/>
    <w:unhideWhenUsed/>
    <w:rsid w:val="00F01CAB"/>
    <w:rPr>
      <w:color w:val="0000FF" w:themeColor="hyperlink"/>
      <w:u w:val="single"/>
    </w:rPr>
  </w:style>
  <w:style w:type="paragraph" w:customStyle="1" w:styleId="p1">
    <w:name w:val="p1"/>
    <w:basedOn w:val="Normal"/>
    <w:rsid w:val="00283514"/>
    <w:rPr>
      <w:rFonts w:ascii="Helvetica" w:eastAsia="Times New Roman" w:hAnsi="Helvetica" w:cs="Times New Roman"/>
      <w:color w:val="000000"/>
      <w:sz w:val="14"/>
      <w:szCs w:val="14"/>
      <w:lang w:eastAsia="es-MX"/>
    </w:rPr>
  </w:style>
  <w:style w:type="paragraph" w:styleId="Listaconnmeros">
    <w:name w:val="List Number"/>
    <w:basedOn w:val="Normal"/>
    <w:uiPriority w:val="99"/>
    <w:unhideWhenUsed/>
    <w:rsid w:val="00B049DF"/>
    <w:pPr>
      <w:numPr>
        <w:numId w:val="6"/>
      </w:numPr>
      <w:tabs>
        <w:tab w:val="clear" w:pos="360"/>
      </w:tabs>
      <w:spacing w:after="200" w:line="276" w:lineRule="auto"/>
      <w:ind w:left="0" w:firstLine="0"/>
      <w:contextualSpacing/>
    </w:pPr>
    <w:rPr>
      <w:rFonts w:ascii="Times New Roman" w:eastAsiaTheme="minorEastAsia" w:hAnsi="Times New Roman"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866</Words>
  <Characters>5192</Characters>
  <Application>Microsoft Office Word</Application>
  <DocSecurity>0</DocSecurity>
  <Lines>120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Leguizamon</dc:creator>
  <cp:lastModifiedBy>Hugo Palacios</cp:lastModifiedBy>
  <cp:revision>3</cp:revision>
  <cp:lastPrinted>2024-12-05T14:29:00Z</cp:lastPrinted>
  <dcterms:created xsi:type="dcterms:W3CDTF">2026-06-30T18:37:00Z</dcterms:created>
  <dcterms:modified xsi:type="dcterms:W3CDTF">2026-06-30T18:37:00Z</dcterms:modified>
</cp:coreProperties>
</file>